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5A" w:rsidRDefault="001B2819">
      <w:pPr>
        <w:widowControl/>
        <w:shd w:val="clear" w:color="auto" w:fill="FFFFFF"/>
        <w:wordWrap w:val="0"/>
        <w:spacing w:before="100" w:beforeAutospacing="1" w:after="100" w:afterAutospacing="1" w:line="555" w:lineRule="atLeast"/>
        <w:jc w:val="center"/>
        <w:rPr>
          <w:rFonts w:ascii="黑体" w:eastAsia="黑体" w:hAnsi="黑体" w:cs="宋体"/>
          <w:color w:val="393B3D"/>
          <w:kern w:val="0"/>
          <w:sz w:val="44"/>
          <w:szCs w:val="44"/>
        </w:rPr>
      </w:pPr>
      <w:r>
        <w:rPr>
          <w:rFonts w:ascii="黑体" w:eastAsia="黑体" w:hAnsi="黑体" w:cs="宋体" w:hint="eastAsia"/>
          <w:color w:val="393B3D"/>
          <w:kern w:val="0"/>
          <w:sz w:val="44"/>
          <w:szCs w:val="44"/>
        </w:rPr>
        <w:t>中国政法大学法学院法学专业研修</w:t>
      </w:r>
    </w:p>
    <w:p w:rsidR="0025685A" w:rsidRDefault="001B2819">
      <w:pPr>
        <w:widowControl/>
        <w:shd w:val="clear" w:color="auto" w:fill="FFFFFF"/>
        <w:wordWrap w:val="0"/>
        <w:spacing w:before="100" w:beforeAutospacing="1" w:after="100" w:afterAutospacing="1" w:line="555" w:lineRule="atLeast"/>
        <w:jc w:val="center"/>
        <w:rPr>
          <w:rFonts w:ascii="ˎ̥" w:hAnsi="ˎ̥" w:cs="宋体"/>
          <w:color w:val="393B3D"/>
          <w:kern w:val="0"/>
          <w:sz w:val="20"/>
          <w:szCs w:val="20"/>
        </w:rPr>
      </w:pPr>
      <w:r>
        <w:rPr>
          <w:rFonts w:ascii="黑体" w:eastAsia="黑体" w:hAnsi="黑体" w:cs="宋体" w:hint="eastAsia"/>
          <w:color w:val="393B3D"/>
          <w:kern w:val="0"/>
          <w:sz w:val="44"/>
          <w:szCs w:val="44"/>
        </w:rPr>
        <w:t>（福建）班招生简章</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t xml:space="preserve">   中国政法大学是一所以法学教育为主，兼有政治学、经济学、哲学、教育学、管理学等多学科的教育部直属国家“211工程”重点大学。中国政法大学的法学是国家一级重点学科，法学院是中国政法大学的骨干学院，其前身为中国政法大学法律系。学校在长期的办学实践中形成了”胸怀法治、追求卓越”的学院精神，在办学理念、人才培养、师资队伍、学科建设、学术研究、管理服务等方面形成了独特的风格。</w:t>
      </w:r>
      <w:r>
        <w:rPr>
          <w:rFonts w:ascii="宋体" w:hAnsi="宋体" w:cs="宋体" w:hint="eastAsia"/>
          <w:color w:val="393B3D"/>
          <w:kern w:val="0"/>
          <w:sz w:val="24"/>
        </w:rPr>
        <w:br/>
        <w:t>  为了加快培养高层次政法专业人才，以满足公、检、法、司、政府部门及企事业单位的需求，适应深化改革、政府职能改革、社会责任担当和市场经济的发展，促进</w:t>
      </w:r>
      <w:r w:rsidR="00DE225E">
        <w:rPr>
          <w:rFonts w:ascii="宋体" w:hAnsi="宋体" w:cs="宋体" w:hint="eastAsia"/>
          <w:color w:val="393B3D"/>
          <w:kern w:val="0"/>
          <w:sz w:val="24"/>
        </w:rPr>
        <w:t>和完善社会法律意识。经中国政法大学开放教育管理办公室批准特在福建举办《法学专业课程研修班》，旨在使福建</w:t>
      </w:r>
      <w:r>
        <w:rPr>
          <w:rFonts w:ascii="宋体" w:hAnsi="宋体" w:cs="宋体" w:hint="eastAsia"/>
          <w:color w:val="393B3D"/>
          <w:kern w:val="0"/>
          <w:sz w:val="24"/>
        </w:rPr>
        <w:t>及其周边地区更多求知法学知识方面的有志人士更好地享受中国政法大学法学权威名人授教的学习机会，同时使具有本科学历的在职人员不脱产通过考试取得法学硕士学位。</w:t>
      </w:r>
    </w:p>
    <w:p w:rsidR="0025685A" w:rsidRDefault="0025685A">
      <w:pPr>
        <w:widowControl/>
        <w:shd w:val="clear" w:color="auto" w:fill="FFFFFF"/>
        <w:wordWrap w:val="0"/>
        <w:jc w:val="left"/>
        <w:rPr>
          <w:rFonts w:ascii="宋体" w:hAnsi="宋体" w:cs="宋体"/>
          <w:color w:val="393B3D"/>
          <w:kern w:val="0"/>
          <w:sz w:val="24"/>
        </w:rPr>
      </w:pPr>
    </w:p>
    <w:p w:rsidR="0025685A" w:rsidRDefault="001B2819">
      <w:pPr>
        <w:widowControl/>
        <w:shd w:val="clear" w:color="auto" w:fill="FFFFFF"/>
        <w:wordWrap w:val="0"/>
        <w:jc w:val="left"/>
        <w:rPr>
          <w:rFonts w:ascii="宋体" w:hAnsi="宋体" w:cs="宋体"/>
          <w:b/>
          <w:bCs/>
          <w:color w:val="393B3D"/>
          <w:kern w:val="0"/>
          <w:sz w:val="24"/>
        </w:rPr>
      </w:pPr>
      <w:r>
        <w:rPr>
          <w:rFonts w:ascii="宋体" w:hAnsi="宋体" w:cs="宋体" w:hint="eastAsia"/>
          <w:b/>
          <w:bCs/>
          <w:color w:val="393B3D"/>
          <w:kern w:val="0"/>
          <w:sz w:val="24"/>
        </w:rPr>
        <w:t>一、报名条件及报名材料</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t>1.拥护《中华人民共和国宪法》，遵纪守法，品行端正，身体健康。</w:t>
      </w:r>
      <w:r>
        <w:rPr>
          <w:rFonts w:ascii="宋体" w:hAnsi="宋体" w:cs="宋体" w:hint="eastAsia"/>
          <w:color w:val="393B3D"/>
          <w:kern w:val="0"/>
          <w:sz w:val="24"/>
        </w:rPr>
        <w:br/>
        <w:t>2.大学本科或大专毕业并有相应工作经验的在职优秀人士。</w:t>
      </w:r>
      <w:r>
        <w:rPr>
          <w:rFonts w:ascii="宋体" w:hAnsi="宋体" w:cs="宋体" w:hint="eastAsia"/>
          <w:color w:val="393B3D"/>
          <w:kern w:val="0"/>
          <w:sz w:val="24"/>
        </w:rPr>
        <w:br/>
        <w:t>3.拟申请硕士学位者需具有学士学位。</w:t>
      </w:r>
      <w:r>
        <w:rPr>
          <w:rFonts w:ascii="宋体" w:hAnsi="宋体" w:cs="宋体" w:hint="eastAsia"/>
          <w:color w:val="393B3D"/>
          <w:kern w:val="0"/>
          <w:sz w:val="24"/>
        </w:rPr>
        <w:br/>
        <w:t>4、报名材料:报名表、身份证、最高学历和学位证复印件各1份，1 寸和2寸近期免冠蓝底照片各2张。</w:t>
      </w:r>
    </w:p>
    <w:p w:rsidR="0025685A" w:rsidRDefault="001B2819">
      <w:pPr>
        <w:widowControl/>
        <w:shd w:val="clear" w:color="auto" w:fill="FFFFFF"/>
        <w:wordWrap w:val="0"/>
        <w:spacing w:before="100" w:beforeAutospacing="1" w:after="100" w:afterAutospacing="1" w:line="405" w:lineRule="atLeast"/>
        <w:jc w:val="left"/>
        <w:rPr>
          <w:rFonts w:ascii="宋体" w:hAnsi="宋体" w:cs="宋体"/>
          <w:b/>
          <w:bCs/>
          <w:color w:val="393B3D"/>
          <w:kern w:val="0"/>
          <w:sz w:val="24"/>
        </w:rPr>
      </w:pPr>
      <w:r>
        <w:rPr>
          <w:rFonts w:ascii="宋体" w:hAnsi="宋体" w:cs="宋体" w:hint="eastAsia"/>
          <w:b/>
          <w:bCs/>
          <w:color w:val="393B3D"/>
          <w:kern w:val="0"/>
          <w:sz w:val="24"/>
        </w:rPr>
        <w:t>二、专业及课程设置</w:t>
      </w:r>
    </w:p>
    <w:tbl>
      <w:tblPr>
        <w:tblW w:w="0" w:type="auto"/>
        <w:tblCellSpacing w:w="0" w:type="dxa"/>
        <w:tblInd w:w="-336" w:type="dxa"/>
        <w:tblLayout w:type="fixed"/>
        <w:tblCellMar>
          <w:left w:w="0" w:type="dxa"/>
          <w:right w:w="0" w:type="dxa"/>
        </w:tblCellMar>
        <w:tblLook w:val="0000"/>
      </w:tblPr>
      <w:tblGrid>
        <w:gridCol w:w="1605"/>
        <w:gridCol w:w="1665"/>
        <w:gridCol w:w="6225"/>
      </w:tblGrid>
      <w:tr w:rsidR="0025685A">
        <w:trPr>
          <w:tblCellSpacing w:w="0" w:type="dxa"/>
        </w:trPr>
        <w:tc>
          <w:tcPr>
            <w:tcW w:w="1605" w:type="dxa"/>
            <w:tcBorders>
              <w:top w:val="single" w:sz="6" w:space="0" w:color="auto"/>
              <w:left w:val="single" w:sz="6" w:space="0" w:color="auto"/>
              <w:bottom w:val="single" w:sz="6" w:space="0" w:color="auto"/>
              <w:right w:val="single" w:sz="6" w:space="0" w:color="auto"/>
            </w:tcBorders>
            <w:tcMar>
              <w:left w:w="105" w:type="dxa"/>
              <w:right w:w="105" w:type="dxa"/>
            </w:tcMar>
          </w:tcPr>
          <w:p w:rsidR="0025685A" w:rsidRDefault="001B2819">
            <w:pPr>
              <w:widowControl/>
              <w:shd w:val="clear" w:color="auto" w:fill="FFFFFF"/>
              <w:wordWrap w:val="0"/>
              <w:spacing w:before="100" w:beforeAutospacing="1" w:after="100" w:afterAutospacing="1" w:line="405" w:lineRule="atLeast"/>
              <w:ind w:left="360"/>
              <w:jc w:val="center"/>
              <w:rPr>
                <w:rFonts w:ascii="宋体" w:hAnsi="宋体" w:cs="宋体"/>
                <w:color w:val="393B3D"/>
                <w:kern w:val="0"/>
                <w:sz w:val="24"/>
              </w:rPr>
            </w:pPr>
            <w:r>
              <w:rPr>
                <w:rFonts w:ascii="宋体" w:hAnsi="宋体" w:cs="宋体" w:hint="eastAsia"/>
                <w:color w:val="393B3D"/>
                <w:kern w:val="0"/>
                <w:sz w:val="24"/>
              </w:rPr>
              <w:t>专业</w:t>
            </w:r>
          </w:p>
        </w:tc>
        <w:tc>
          <w:tcPr>
            <w:tcW w:w="1665" w:type="dxa"/>
            <w:tcBorders>
              <w:top w:val="single" w:sz="6" w:space="0" w:color="auto"/>
              <w:left w:val="nil"/>
              <w:bottom w:val="single" w:sz="6" w:space="0" w:color="auto"/>
              <w:right w:val="single" w:sz="6" w:space="0" w:color="auto"/>
            </w:tcBorders>
            <w:tcMar>
              <w:left w:w="105" w:type="dxa"/>
              <w:right w:w="105" w:type="dxa"/>
            </w:tcMar>
          </w:tcPr>
          <w:p w:rsidR="0025685A" w:rsidRDefault="001B2819">
            <w:pPr>
              <w:widowControl/>
              <w:shd w:val="clear" w:color="auto" w:fill="FFFFFF"/>
              <w:wordWrap w:val="0"/>
              <w:spacing w:before="100" w:beforeAutospacing="1" w:after="100" w:afterAutospacing="1" w:line="405" w:lineRule="atLeast"/>
              <w:ind w:left="360"/>
              <w:jc w:val="center"/>
              <w:rPr>
                <w:rFonts w:ascii="宋体" w:hAnsi="宋体" w:cs="宋体"/>
                <w:color w:val="393B3D"/>
                <w:kern w:val="0"/>
                <w:sz w:val="24"/>
              </w:rPr>
            </w:pPr>
            <w:r>
              <w:rPr>
                <w:rFonts w:ascii="宋体" w:hAnsi="宋体" w:cs="宋体" w:hint="eastAsia"/>
                <w:color w:val="393B3D"/>
                <w:kern w:val="0"/>
                <w:sz w:val="24"/>
              </w:rPr>
              <w:t>课程性质</w:t>
            </w:r>
          </w:p>
        </w:tc>
        <w:tc>
          <w:tcPr>
            <w:tcW w:w="6225" w:type="dxa"/>
            <w:tcBorders>
              <w:top w:val="single" w:sz="6" w:space="0" w:color="auto"/>
              <w:left w:val="nil"/>
              <w:bottom w:val="single" w:sz="6" w:space="0" w:color="auto"/>
              <w:right w:val="single" w:sz="6" w:space="0" w:color="auto"/>
            </w:tcBorders>
            <w:tcMar>
              <w:left w:w="105" w:type="dxa"/>
              <w:right w:w="105" w:type="dxa"/>
            </w:tcMar>
          </w:tcPr>
          <w:p w:rsidR="0025685A" w:rsidRDefault="001B2819">
            <w:pPr>
              <w:widowControl/>
              <w:shd w:val="clear" w:color="auto" w:fill="FFFFFF"/>
              <w:wordWrap w:val="0"/>
              <w:spacing w:before="100" w:beforeAutospacing="1" w:after="100" w:afterAutospacing="1" w:line="405" w:lineRule="atLeast"/>
              <w:ind w:left="360"/>
              <w:jc w:val="center"/>
              <w:rPr>
                <w:rFonts w:ascii="宋体" w:hAnsi="宋体" w:cs="宋体"/>
                <w:color w:val="393B3D"/>
                <w:kern w:val="0"/>
                <w:sz w:val="24"/>
              </w:rPr>
            </w:pPr>
            <w:r>
              <w:rPr>
                <w:rFonts w:ascii="宋体" w:hAnsi="宋体" w:cs="宋体" w:hint="eastAsia"/>
                <w:color w:val="393B3D"/>
                <w:kern w:val="0"/>
                <w:sz w:val="24"/>
              </w:rPr>
              <w:t>课程名称</w:t>
            </w:r>
          </w:p>
        </w:tc>
      </w:tr>
      <w:tr w:rsidR="0025685A">
        <w:trPr>
          <w:tblCellSpacing w:w="0" w:type="dxa"/>
        </w:trPr>
        <w:tc>
          <w:tcPr>
            <w:tcW w:w="1605" w:type="dxa"/>
            <w:tcBorders>
              <w:top w:val="nil"/>
              <w:left w:val="single" w:sz="6" w:space="0" w:color="auto"/>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法学各专业必修课</w:t>
            </w:r>
          </w:p>
        </w:tc>
        <w:tc>
          <w:tcPr>
            <w:tcW w:w="1665" w:type="dxa"/>
            <w:tcBorders>
              <w:top w:val="nil"/>
              <w:left w:val="nil"/>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基础课程</w:t>
            </w:r>
          </w:p>
        </w:tc>
        <w:tc>
          <w:tcPr>
            <w:tcW w:w="6225" w:type="dxa"/>
            <w:tcBorders>
              <w:top w:val="nil"/>
              <w:left w:val="nil"/>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法理学、宪法学、民法学、刑法学、中国法制史</w:t>
            </w:r>
          </w:p>
        </w:tc>
      </w:tr>
      <w:tr w:rsidR="0025685A">
        <w:trPr>
          <w:tblCellSpacing w:w="0" w:type="dxa"/>
        </w:trPr>
        <w:tc>
          <w:tcPr>
            <w:tcW w:w="1605" w:type="dxa"/>
            <w:tcBorders>
              <w:top w:val="nil"/>
              <w:left w:val="single" w:sz="6" w:space="0" w:color="auto"/>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宪法与行政法学</w:t>
            </w:r>
          </w:p>
        </w:tc>
        <w:tc>
          <w:tcPr>
            <w:tcW w:w="1665" w:type="dxa"/>
            <w:tcBorders>
              <w:top w:val="nil"/>
              <w:left w:val="nil"/>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专业课程</w:t>
            </w:r>
          </w:p>
        </w:tc>
        <w:tc>
          <w:tcPr>
            <w:tcW w:w="6225" w:type="dxa"/>
            <w:tcBorders>
              <w:top w:val="nil"/>
              <w:left w:val="nil"/>
              <w:bottom w:val="single" w:sz="6" w:space="0" w:color="auto"/>
              <w:right w:val="single" w:sz="6" w:space="0" w:color="auto"/>
            </w:tcBorders>
            <w:tcMar>
              <w:left w:w="105" w:type="dxa"/>
              <w:right w:w="105" w:type="dxa"/>
            </w:tcMa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外国宪法、行政法、行政诉讼法、行政许可法、行政处罚法、行政强制法、行政复议法、国家赔偿法、立法法</w:t>
            </w:r>
          </w:p>
        </w:tc>
      </w:tr>
      <w:tr w:rsidR="0025685A">
        <w:trPr>
          <w:tblCellSpacing w:w="0" w:type="dxa"/>
        </w:trPr>
        <w:tc>
          <w:tcPr>
            <w:tcW w:w="1605" w:type="dxa"/>
            <w:tcBorders>
              <w:top w:val="nil"/>
              <w:left w:val="single" w:sz="6" w:space="0" w:color="auto"/>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民商法</w:t>
            </w:r>
          </w:p>
        </w:tc>
        <w:tc>
          <w:tcPr>
            <w:tcW w:w="1665" w:type="dxa"/>
            <w:tcBorders>
              <w:top w:val="nil"/>
              <w:left w:val="nil"/>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专业课程</w:t>
            </w:r>
          </w:p>
        </w:tc>
        <w:tc>
          <w:tcPr>
            <w:tcW w:w="6225" w:type="dxa"/>
            <w:tcBorders>
              <w:top w:val="nil"/>
              <w:left w:val="nil"/>
              <w:bottom w:val="single" w:sz="6" w:space="0" w:color="auto"/>
              <w:right w:val="single" w:sz="6" w:space="0" w:color="auto"/>
            </w:tcBorders>
            <w:tcMar>
              <w:left w:w="105" w:type="dxa"/>
              <w:right w:w="105" w:type="dxa"/>
            </w:tcMa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民法总论、物权法、债权法论、公司法与证券法、合同法总论、合同法分论、侵权行为法、商法学、保险法、民事诉讼与仲裁法</w:t>
            </w:r>
          </w:p>
        </w:tc>
      </w:tr>
      <w:tr w:rsidR="0025685A">
        <w:trPr>
          <w:tblCellSpacing w:w="0" w:type="dxa"/>
        </w:trPr>
        <w:tc>
          <w:tcPr>
            <w:tcW w:w="1605" w:type="dxa"/>
            <w:tcBorders>
              <w:top w:val="nil"/>
              <w:left w:val="single" w:sz="6" w:space="0" w:color="auto"/>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经济法</w:t>
            </w:r>
          </w:p>
        </w:tc>
        <w:tc>
          <w:tcPr>
            <w:tcW w:w="1665" w:type="dxa"/>
            <w:tcBorders>
              <w:top w:val="nil"/>
              <w:left w:val="nil"/>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专业课程</w:t>
            </w:r>
          </w:p>
        </w:tc>
        <w:tc>
          <w:tcPr>
            <w:tcW w:w="6225" w:type="dxa"/>
            <w:tcBorders>
              <w:top w:val="nil"/>
              <w:left w:val="nil"/>
              <w:bottom w:val="single" w:sz="6" w:space="0" w:color="auto"/>
              <w:right w:val="single" w:sz="6" w:space="0" w:color="auto"/>
            </w:tcBorders>
            <w:tcMar>
              <w:left w:w="105" w:type="dxa"/>
              <w:right w:w="105" w:type="dxa"/>
            </w:tcMa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经济法理论、企业与公司法学、 金融法学、竞争法学、环境资源法、商法、专利法、商标法、证券期货法、股权投资法、信托法</w:t>
            </w:r>
          </w:p>
        </w:tc>
      </w:tr>
      <w:tr w:rsidR="0025685A">
        <w:trPr>
          <w:tblCellSpacing w:w="0" w:type="dxa"/>
        </w:trPr>
        <w:tc>
          <w:tcPr>
            <w:tcW w:w="1605" w:type="dxa"/>
            <w:tcBorders>
              <w:top w:val="nil"/>
              <w:left w:val="single" w:sz="6" w:space="0" w:color="auto"/>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刑法学</w:t>
            </w:r>
          </w:p>
        </w:tc>
        <w:tc>
          <w:tcPr>
            <w:tcW w:w="1665" w:type="dxa"/>
            <w:tcBorders>
              <w:top w:val="nil"/>
              <w:left w:val="nil"/>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专业课程</w:t>
            </w:r>
          </w:p>
        </w:tc>
        <w:tc>
          <w:tcPr>
            <w:tcW w:w="6225" w:type="dxa"/>
            <w:tcBorders>
              <w:top w:val="nil"/>
              <w:left w:val="nil"/>
              <w:bottom w:val="single" w:sz="6" w:space="0" w:color="auto"/>
              <w:right w:val="single" w:sz="6" w:space="0" w:color="auto"/>
            </w:tcBorders>
            <w:tcMar>
              <w:left w:w="105" w:type="dxa"/>
              <w:right w:w="105" w:type="dxa"/>
            </w:tcMa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刑法学总论、刑法学分论、外国刑法学、犯罪学、证据法学、刑事侦查学、司法鉴定专题、经济犯罪研究、证</w:t>
            </w:r>
            <w:r>
              <w:rPr>
                <w:rFonts w:ascii="宋体" w:hAnsi="宋体" w:cs="宋体" w:hint="eastAsia"/>
                <w:color w:val="393B3D"/>
                <w:kern w:val="0"/>
                <w:sz w:val="24"/>
              </w:rPr>
              <w:lastRenderedPageBreak/>
              <w:t>据调查学、法庭科学专题</w:t>
            </w:r>
          </w:p>
        </w:tc>
      </w:tr>
      <w:tr w:rsidR="0025685A">
        <w:trPr>
          <w:trHeight w:val="1140"/>
          <w:tblCellSpacing w:w="0" w:type="dxa"/>
        </w:trPr>
        <w:tc>
          <w:tcPr>
            <w:tcW w:w="1605" w:type="dxa"/>
            <w:tcBorders>
              <w:top w:val="nil"/>
              <w:left w:val="single" w:sz="6" w:space="0" w:color="auto"/>
              <w:bottom w:val="nil"/>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lastRenderedPageBreak/>
              <w:t>诉讼法</w:t>
            </w:r>
          </w:p>
        </w:tc>
        <w:tc>
          <w:tcPr>
            <w:tcW w:w="1665" w:type="dxa"/>
            <w:tcBorders>
              <w:top w:val="nil"/>
              <w:left w:val="nil"/>
              <w:bottom w:val="nil"/>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专业课程</w:t>
            </w:r>
          </w:p>
        </w:tc>
        <w:tc>
          <w:tcPr>
            <w:tcW w:w="6225" w:type="dxa"/>
            <w:tcBorders>
              <w:top w:val="nil"/>
              <w:left w:val="nil"/>
              <w:bottom w:val="nil"/>
              <w:right w:val="single" w:sz="6" w:space="0" w:color="auto"/>
            </w:tcBorders>
            <w:tcMar>
              <w:left w:w="105" w:type="dxa"/>
              <w:right w:w="105" w:type="dxa"/>
            </w:tcMa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民事诉讼法、民事诉讼程序、民事执行法学、公正与调解制度、比较民事诉讼法、仲裁法、民事诉讼实务、刑事诉讼法、外国刑诉、证据调查学、刑事辩护与代理、刑事诉讼实务、证据法学</w:t>
            </w:r>
          </w:p>
        </w:tc>
      </w:tr>
      <w:tr w:rsidR="0025685A">
        <w:trPr>
          <w:trHeight w:val="1140"/>
          <w:tblCellSpacing w:w="0" w:type="dxa"/>
        </w:trPr>
        <w:tc>
          <w:tcPr>
            <w:tcW w:w="1605" w:type="dxa"/>
            <w:tcBorders>
              <w:top w:val="nil"/>
              <w:left w:val="single" w:sz="6" w:space="0" w:color="auto"/>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知识产权</w:t>
            </w:r>
          </w:p>
        </w:tc>
        <w:tc>
          <w:tcPr>
            <w:tcW w:w="1665" w:type="dxa"/>
            <w:tcBorders>
              <w:top w:val="nil"/>
              <w:left w:val="nil"/>
              <w:bottom w:val="single" w:sz="6" w:space="0" w:color="auto"/>
              <w:right w:val="single" w:sz="6" w:space="0" w:color="auto"/>
            </w:tcBorders>
            <w:tcMar>
              <w:left w:w="105" w:type="dxa"/>
              <w:right w:w="105" w:type="dxa"/>
            </w:tcMar>
            <w:vAlign w:val="cente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专业课程</w:t>
            </w:r>
          </w:p>
        </w:tc>
        <w:tc>
          <w:tcPr>
            <w:tcW w:w="6225" w:type="dxa"/>
            <w:tcBorders>
              <w:top w:val="nil"/>
              <w:left w:val="nil"/>
              <w:bottom w:val="single" w:sz="6" w:space="0" w:color="auto"/>
              <w:right w:val="single" w:sz="6" w:space="0" w:color="auto"/>
            </w:tcBorders>
            <w:tcMar>
              <w:left w:w="105" w:type="dxa"/>
              <w:right w:w="105" w:type="dxa"/>
            </w:tcMar>
          </w:tcPr>
          <w:p w:rsidR="0025685A" w:rsidRDefault="001B2819">
            <w:pPr>
              <w:widowControl/>
              <w:shd w:val="clear" w:color="auto" w:fill="FFFFFF"/>
              <w:wordWrap w:val="0"/>
              <w:spacing w:before="100" w:beforeAutospacing="1" w:after="100" w:afterAutospacing="1" w:line="405" w:lineRule="atLeast"/>
              <w:ind w:left="360"/>
              <w:jc w:val="left"/>
              <w:rPr>
                <w:rFonts w:ascii="宋体" w:hAnsi="宋体" w:cs="宋体"/>
                <w:color w:val="393B3D"/>
                <w:kern w:val="0"/>
                <w:sz w:val="24"/>
              </w:rPr>
            </w:pPr>
            <w:r>
              <w:rPr>
                <w:rFonts w:ascii="宋体" w:hAnsi="宋体" w:cs="宋体" w:hint="eastAsia"/>
                <w:color w:val="393B3D"/>
                <w:kern w:val="0"/>
                <w:sz w:val="24"/>
              </w:rPr>
              <w:t>侵权行为法论、竞争法、知识产权法保险法、破产法、著作权法、专利法、商标法、侵权行为法、知识产权前沿、反不正当竞争法</w:t>
            </w:r>
          </w:p>
        </w:tc>
      </w:tr>
    </w:tbl>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br/>
        <w:t xml:space="preserve">备注：1、基础课程系同等学力申请硕士学位全国统一考试法律综合考试内容；          专业课程授课内容在培养过程中根据实际情况进行调整。    </w:t>
      </w:r>
      <w:r>
        <w:rPr>
          <w:rFonts w:ascii="宋体" w:hAnsi="宋体" w:cs="宋体" w:hint="eastAsia"/>
          <w:color w:val="393B3D"/>
          <w:kern w:val="0"/>
          <w:sz w:val="24"/>
        </w:rPr>
        <w:br/>
        <w:t xml:space="preserve">      2、学员可根据实际情况选报读以上开设的所有专业之一就读。</w:t>
      </w:r>
      <w:r>
        <w:rPr>
          <w:rFonts w:ascii="宋体" w:hAnsi="宋体" w:cs="宋体" w:hint="eastAsia"/>
          <w:color w:val="393B3D"/>
          <w:kern w:val="0"/>
          <w:sz w:val="24"/>
        </w:rPr>
        <w:br/>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b/>
          <w:bCs/>
          <w:color w:val="393B3D"/>
          <w:kern w:val="0"/>
          <w:sz w:val="24"/>
        </w:rPr>
        <w:t>三、学制及教学</w:t>
      </w:r>
      <w:r>
        <w:rPr>
          <w:rFonts w:ascii="宋体" w:hAnsi="宋体" w:cs="宋体" w:hint="eastAsia"/>
          <w:b/>
          <w:bCs/>
          <w:color w:val="393B3D"/>
          <w:kern w:val="0"/>
          <w:sz w:val="24"/>
        </w:rPr>
        <w:br/>
      </w:r>
      <w:r>
        <w:rPr>
          <w:rFonts w:ascii="宋体" w:hAnsi="宋体" w:cs="宋体" w:hint="eastAsia"/>
          <w:color w:val="393B3D"/>
          <w:kern w:val="0"/>
          <w:sz w:val="24"/>
        </w:rPr>
        <w:t>1、学制2年,根据在职人员的具体情况，按照《中国政法大学研究生培养方案》的要求制定教学计划，采取面授和自学相结合的方式教学。</w:t>
      </w:r>
      <w:r>
        <w:rPr>
          <w:rFonts w:ascii="宋体" w:hAnsi="宋体" w:cs="宋体" w:hint="eastAsia"/>
          <w:color w:val="393B3D"/>
          <w:kern w:val="0"/>
          <w:sz w:val="24"/>
        </w:rPr>
        <w:br/>
        <w:t>2、引进国外弹性教学体制，采取学分制，修满学分，准予结业。</w:t>
      </w:r>
      <w:r>
        <w:rPr>
          <w:rFonts w:ascii="宋体" w:hAnsi="宋体" w:cs="宋体" w:hint="eastAsia"/>
          <w:color w:val="393B3D"/>
          <w:kern w:val="0"/>
          <w:sz w:val="24"/>
        </w:rPr>
        <w:br/>
        <w:t>3、周末授课与假期集中授课相结合，学习工作两不误。</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t>4、授课师资：中国政法大学硕士导师、博士导师。</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t>5、教学特色</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br/>
      </w:r>
      <w:r>
        <w:rPr>
          <w:rFonts w:ascii="宋体" w:hAnsi="宋体" w:cs="宋体" w:hint="eastAsia"/>
          <w:b/>
          <w:bCs/>
          <w:color w:val="393B3D"/>
          <w:kern w:val="0"/>
          <w:sz w:val="24"/>
        </w:rPr>
        <w:t>四、项目优势</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t>1、“法学”权威 全国法学界最高学府、知名权威；</w:t>
      </w:r>
      <w:r>
        <w:rPr>
          <w:rFonts w:ascii="宋体" w:hAnsi="宋体" w:cs="宋体" w:hint="eastAsia"/>
          <w:color w:val="393B3D"/>
          <w:kern w:val="0"/>
          <w:sz w:val="24"/>
        </w:rPr>
        <w:br/>
        <w:t>2、师资“实力”阵容  博士、硕士资深教授导师主讲，国内外知名学者、“两</w:t>
      </w:r>
      <w:r w:rsidR="004420FF">
        <w:rPr>
          <w:rFonts w:ascii="宋体" w:hAnsi="宋体" w:cs="宋体" w:hint="eastAsia"/>
          <w:color w:val="393B3D"/>
          <w:kern w:val="0"/>
          <w:sz w:val="24"/>
        </w:rPr>
        <w:t xml:space="preserve">   </w:t>
      </w:r>
      <w:r>
        <w:rPr>
          <w:rFonts w:ascii="宋体" w:hAnsi="宋体" w:cs="宋体" w:hint="eastAsia"/>
          <w:color w:val="393B3D"/>
          <w:kern w:val="0"/>
          <w:sz w:val="24"/>
        </w:rPr>
        <w:t>高”、国务院部委等知名法学专家讲座；</w:t>
      </w:r>
      <w:r>
        <w:rPr>
          <w:rFonts w:ascii="宋体" w:hAnsi="宋体" w:cs="宋体" w:hint="eastAsia"/>
          <w:color w:val="393B3D"/>
          <w:kern w:val="0"/>
          <w:sz w:val="24"/>
        </w:rPr>
        <w:br/>
        <w:t>3、“零”距离身教  学员与全球法学权威名人、专家教授“零”洽谈、交流</w:t>
      </w:r>
      <w:r w:rsidR="004420FF">
        <w:rPr>
          <w:rFonts w:ascii="宋体" w:hAnsi="宋体" w:cs="宋体" w:hint="eastAsia"/>
          <w:color w:val="393B3D"/>
          <w:kern w:val="0"/>
          <w:sz w:val="24"/>
        </w:rPr>
        <w:t xml:space="preserve">    </w:t>
      </w:r>
      <w:r>
        <w:rPr>
          <w:rFonts w:ascii="宋体" w:hAnsi="宋体" w:cs="宋体" w:hint="eastAsia"/>
          <w:color w:val="393B3D"/>
          <w:kern w:val="0"/>
          <w:sz w:val="24"/>
        </w:rPr>
        <w:t>与传教；</w:t>
      </w:r>
      <w:r>
        <w:rPr>
          <w:rFonts w:ascii="宋体" w:hAnsi="宋体" w:cs="宋体" w:hint="eastAsia"/>
          <w:color w:val="393B3D"/>
          <w:kern w:val="0"/>
          <w:sz w:val="24"/>
        </w:rPr>
        <w:br/>
        <w:t>4、工学互补  免试入学、学习灵活，周未或集中授课、工作学习两不误；</w:t>
      </w:r>
      <w:r>
        <w:rPr>
          <w:rFonts w:ascii="宋体" w:hAnsi="宋体" w:cs="宋体" w:hint="eastAsia"/>
          <w:color w:val="393B3D"/>
          <w:kern w:val="0"/>
          <w:sz w:val="24"/>
        </w:rPr>
        <w:br/>
        <w:t>5、性价比高  收费不高，一次交费可免费享受滚动同等课程学习；</w:t>
      </w:r>
      <w:r>
        <w:rPr>
          <w:rFonts w:ascii="宋体" w:hAnsi="宋体" w:cs="宋体" w:hint="eastAsia"/>
          <w:color w:val="393B3D"/>
          <w:kern w:val="0"/>
          <w:sz w:val="24"/>
        </w:rPr>
        <w:br/>
        <w:t>6、申硕灵活  同等学力申请硕士学位灵活，统考科目外语和法学综合可不同</w:t>
      </w:r>
      <w:r w:rsidR="004420FF">
        <w:rPr>
          <w:rFonts w:ascii="宋体" w:hAnsi="宋体" w:cs="宋体" w:hint="eastAsia"/>
          <w:color w:val="393B3D"/>
          <w:kern w:val="0"/>
          <w:sz w:val="24"/>
        </w:rPr>
        <w:t xml:space="preserve">    </w:t>
      </w:r>
      <w:r>
        <w:rPr>
          <w:rFonts w:ascii="宋体" w:hAnsi="宋体" w:cs="宋体" w:hint="eastAsia"/>
          <w:color w:val="393B3D"/>
          <w:kern w:val="0"/>
          <w:sz w:val="24"/>
        </w:rPr>
        <w:t>时间过关；</w:t>
      </w:r>
      <w:r>
        <w:rPr>
          <w:rFonts w:ascii="宋体" w:hAnsi="宋体" w:cs="宋体" w:hint="eastAsia"/>
          <w:color w:val="393B3D"/>
          <w:kern w:val="0"/>
          <w:sz w:val="24"/>
        </w:rPr>
        <w:br/>
        <w:t>7、过关率高  申硕统考通过率高，可达90%以上；</w:t>
      </w:r>
      <w:r>
        <w:rPr>
          <w:rFonts w:ascii="宋体" w:hAnsi="宋体" w:cs="宋体" w:hint="eastAsia"/>
          <w:color w:val="393B3D"/>
          <w:kern w:val="0"/>
          <w:sz w:val="24"/>
        </w:rPr>
        <w:br/>
        <w:t>8、可降低获证难度 论文撰写及发表，学校或教学中心可提供有效帮助，降低</w:t>
      </w:r>
      <w:r w:rsidR="004420FF">
        <w:rPr>
          <w:rFonts w:ascii="宋体" w:hAnsi="宋体" w:cs="宋体" w:hint="eastAsia"/>
          <w:color w:val="393B3D"/>
          <w:kern w:val="0"/>
          <w:sz w:val="24"/>
        </w:rPr>
        <w:t xml:space="preserve">    </w:t>
      </w:r>
      <w:r>
        <w:rPr>
          <w:rFonts w:ascii="宋体" w:hAnsi="宋体" w:cs="宋体" w:hint="eastAsia"/>
          <w:color w:val="393B3D"/>
          <w:kern w:val="0"/>
          <w:sz w:val="24"/>
        </w:rPr>
        <w:t>毕业和法学硕士学位获得难度；</w:t>
      </w:r>
      <w:r>
        <w:rPr>
          <w:rFonts w:ascii="宋体" w:hAnsi="宋体" w:cs="宋体" w:hint="eastAsia"/>
          <w:color w:val="393B3D"/>
          <w:kern w:val="0"/>
          <w:sz w:val="24"/>
        </w:rPr>
        <w:br/>
        <w:t>9、拓展丰富人脉  中国政法大学校友，来自各个行业和公检法系统精英，具</w:t>
      </w:r>
      <w:r w:rsidR="004420FF">
        <w:rPr>
          <w:rFonts w:ascii="宋体" w:hAnsi="宋体" w:cs="宋体" w:hint="eastAsia"/>
          <w:color w:val="393B3D"/>
          <w:kern w:val="0"/>
          <w:sz w:val="24"/>
        </w:rPr>
        <w:t xml:space="preserve">    </w:t>
      </w:r>
      <w:r>
        <w:rPr>
          <w:rFonts w:ascii="宋体" w:hAnsi="宋体" w:cs="宋体" w:hint="eastAsia"/>
          <w:color w:val="393B3D"/>
          <w:kern w:val="0"/>
          <w:sz w:val="24"/>
        </w:rPr>
        <w:t>有丰富的人脉资源共享；</w:t>
      </w:r>
      <w:r>
        <w:rPr>
          <w:rFonts w:ascii="宋体" w:hAnsi="宋体" w:cs="宋体" w:hint="eastAsia"/>
          <w:color w:val="393B3D"/>
          <w:kern w:val="0"/>
          <w:sz w:val="24"/>
        </w:rPr>
        <w:br/>
        <w:t> </w:t>
      </w:r>
    </w:p>
    <w:p w:rsidR="0025685A" w:rsidRDefault="001B2819">
      <w:pPr>
        <w:widowControl/>
        <w:shd w:val="clear" w:color="auto" w:fill="FFFFFF"/>
        <w:wordWrap w:val="0"/>
        <w:jc w:val="left"/>
        <w:rPr>
          <w:rFonts w:ascii="宋体" w:hAnsi="宋体" w:cs="宋体"/>
          <w:b/>
          <w:bCs/>
          <w:color w:val="393B3D"/>
          <w:kern w:val="0"/>
          <w:sz w:val="24"/>
        </w:rPr>
      </w:pPr>
      <w:r>
        <w:rPr>
          <w:rFonts w:ascii="宋体" w:hAnsi="宋体" w:cs="宋体" w:hint="eastAsia"/>
          <w:b/>
          <w:bCs/>
          <w:color w:val="393B3D"/>
          <w:kern w:val="0"/>
          <w:sz w:val="24"/>
        </w:rPr>
        <w:t>五、资格审查及学籍管理</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t xml:space="preserve">   </w:t>
      </w:r>
      <w:r w:rsidR="003E67B3">
        <w:rPr>
          <w:rFonts w:ascii="宋体" w:hAnsi="宋体" w:cs="宋体" w:hint="eastAsia"/>
          <w:color w:val="393B3D"/>
          <w:kern w:val="0"/>
          <w:sz w:val="24"/>
        </w:rPr>
        <w:t>福建</w:t>
      </w:r>
      <w:r>
        <w:rPr>
          <w:rFonts w:ascii="宋体" w:hAnsi="宋体" w:cs="宋体" w:hint="eastAsia"/>
          <w:color w:val="393B3D"/>
          <w:kern w:val="0"/>
          <w:sz w:val="24"/>
        </w:rPr>
        <w:t>教学中心收到学员报名材料报中国政法大学法学院审核批准后，对符合条件者发放《录取通知书》，并建立在职硕士研究生学籍档案。</w:t>
      </w:r>
    </w:p>
    <w:p w:rsidR="0025685A" w:rsidRDefault="001B2819">
      <w:pPr>
        <w:widowControl/>
        <w:shd w:val="clear" w:color="auto" w:fill="FFFFFF"/>
        <w:wordWrap w:val="0"/>
        <w:spacing w:before="100" w:beforeAutospacing="1" w:after="100" w:afterAutospacing="1" w:line="405" w:lineRule="atLeast"/>
        <w:jc w:val="left"/>
        <w:rPr>
          <w:rFonts w:ascii="宋体" w:hAnsi="宋体" w:cs="宋体"/>
          <w:color w:val="393B3D"/>
          <w:kern w:val="0"/>
          <w:sz w:val="24"/>
        </w:rPr>
      </w:pPr>
      <w:r>
        <w:rPr>
          <w:rFonts w:ascii="宋体" w:hAnsi="宋体" w:cs="宋体" w:hint="eastAsia"/>
          <w:b/>
          <w:bCs/>
          <w:color w:val="393B3D"/>
          <w:kern w:val="0"/>
          <w:sz w:val="24"/>
        </w:rPr>
        <w:lastRenderedPageBreak/>
        <w:t>六、证书颁发、学位申请</w:t>
      </w:r>
      <w:r>
        <w:rPr>
          <w:rFonts w:ascii="宋体" w:hAnsi="宋体" w:cs="宋体" w:hint="eastAsia"/>
          <w:b/>
          <w:bCs/>
          <w:color w:val="393B3D"/>
          <w:kern w:val="0"/>
          <w:sz w:val="24"/>
        </w:rPr>
        <w:br/>
      </w:r>
      <w:r>
        <w:rPr>
          <w:rFonts w:ascii="宋体" w:hAnsi="宋体" w:cs="宋体" w:hint="eastAsia"/>
          <w:color w:val="393B3D"/>
          <w:kern w:val="0"/>
          <w:sz w:val="24"/>
        </w:rPr>
        <w:t>  学员修完教学计划规定的课程并参加该班组织的每门课程的考试，考试成绩合格者，颁发《中国政法大学法学专业研修班结业证书》。</w:t>
      </w:r>
      <w:r>
        <w:rPr>
          <w:rFonts w:ascii="宋体" w:hAnsi="宋体" w:cs="宋体" w:hint="eastAsia"/>
          <w:color w:val="393B3D"/>
          <w:kern w:val="0"/>
          <w:sz w:val="24"/>
        </w:rPr>
        <w:br/>
        <w:t>  申请硕士学位必须具备的条件：</w:t>
      </w:r>
      <w:r>
        <w:rPr>
          <w:rFonts w:ascii="宋体" w:hAnsi="宋体" w:cs="宋体" w:hint="eastAsia"/>
          <w:color w:val="393B3D"/>
          <w:kern w:val="0"/>
          <w:sz w:val="24"/>
        </w:rPr>
        <w:br/>
        <w:t>（一）申请人必须已获得学士学位，并在获得学士学位后工作三年以上；</w:t>
      </w:r>
      <w:r>
        <w:rPr>
          <w:rFonts w:ascii="宋体" w:hAnsi="宋体" w:cs="宋体" w:hint="eastAsia"/>
          <w:color w:val="393B3D"/>
          <w:kern w:val="0"/>
          <w:sz w:val="24"/>
        </w:rPr>
        <w:br/>
        <w:t>（二）在申请学位的专业或相近专业做出成绩（发表或出版与申请学位专业相关的学术论文、专著或其他成果）；</w:t>
      </w:r>
      <w:r>
        <w:rPr>
          <w:rFonts w:ascii="宋体" w:hAnsi="宋体" w:cs="宋体" w:hint="eastAsia"/>
          <w:color w:val="393B3D"/>
          <w:kern w:val="0"/>
          <w:sz w:val="24"/>
        </w:rPr>
        <w:br/>
        <w:t>（三）通过中国政法大学组织的以研究生毕业同等学力人员申请硕士学位的学位课程考试；</w:t>
      </w:r>
      <w:r>
        <w:rPr>
          <w:rFonts w:ascii="宋体" w:hAnsi="宋体" w:cs="宋体" w:hint="eastAsia"/>
          <w:color w:val="393B3D"/>
          <w:kern w:val="0"/>
          <w:sz w:val="24"/>
        </w:rPr>
        <w:br/>
        <w:t>（四）通过全国统一的以研究生毕业同等学力人员申请硕士学位的外语考试和法学综合课考试。</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b/>
          <w:bCs/>
          <w:color w:val="393B3D"/>
          <w:kern w:val="0"/>
          <w:sz w:val="24"/>
        </w:rPr>
        <w:t>七、费  用</w:t>
      </w:r>
      <w:r>
        <w:rPr>
          <w:rFonts w:ascii="宋体" w:hAnsi="宋体" w:cs="宋体" w:hint="eastAsia"/>
          <w:b/>
          <w:bCs/>
          <w:color w:val="393B3D"/>
          <w:kern w:val="0"/>
          <w:sz w:val="24"/>
        </w:rPr>
        <w:br/>
      </w:r>
      <w:r w:rsidR="00E216C2">
        <w:rPr>
          <w:rFonts w:ascii="宋体" w:hAnsi="宋体" w:cs="宋体" w:hint="eastAsia"/>
          <w:b/>
          <w:bCs/>
          <w:color w:val="393B3D"/>
          <w:kern w:val="0"/>
          <w:sz w:val="24"/>
        </w:rPr>
        <w:t>2021年前</w:t>
      </w:r>
      <w:r>
        <w:rPr>
          <w:rFonts w:ascii="宋体" w:hAnsi="宋体" w:cs="宋体" w:hint="eastAsia"/>
          <w:b/>
          <w:bCs/>
          <w:color w:val="393B3D"/>
          <w:kern w:val="0"/>
          <w:sz w:val="24"/>
        </w:rPr>
        <w:t>费用</w:t>
      </w:r>
      <w:r>
        <w:rPr>
          <w:rFonts w:ascii="宋体" w:hAnsi="宋体" w:cs="宋体" w:hint="eastAsia"/>
          <w:color w:val="393B3D"/>
          <w:kern w:val="0"/>
          <w:sz w:val="24"/>
        </w:rPr>
        <w:t>：29200</w:t>
      </w:r>
      <w:r w:rsidR="00E216C2">
        <w:rPr>
          <w:rFonts w:ascii="宋体" w:hAnsi="宋体" w:cs="宋体" w:hint="eastAsia"/>
          <w:color w:val="393B3D"/>
          <w:kern w:val="0"/>
          <w:sz w:val="24"/>
        </w:rPr>
        <w:t>元</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t>学费汇入账户</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t>户  名：中国政法大学</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t>开户行：中国银行北京昌平支行</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t>账 号：34675600 7485</w:t>
      </w:r>
    </w:p>
    <w:p w:rsidR="0025685A" w:rsidRDefault="001B2819">
      <w:pPr>
        <w:widowControl/>
        <w:shd w:val="clear" w:color="auto" w:fill="FFFFFF"/>
        <w:wordWrap w:val="0"/>
        <w:jc w:val="left"/>
        <w:rPr>
          <w:rFonts w:ascii="宋体" w:hAnsi="宋体" w:cs="宋体"/>
          <w:color w:val="393B3D"/>
          <w:kern w:val="0"/>
          <w:sz w:val="24"/>
        </w:rPr>
      </w:pPr>
      <w:r>
        <w:rPr>
          <w:rFonts w:ascii="宋体" w:hAnsi="宋体" w:cs="宋体" w:hint="eastAsia"/>
          <w:color w:val="393B3D"/>
          <w:kern w:val="0"/>
          <w:sz w:val="24"/>
        </w:rPr>
        <w:t xml:space="preserve">  </w:t>
      </w:r>
      <w:r>
        <w:rPr>
          <w:rFonts w:ascii="宋体" w:hAnsi="宋体" w:cs="宋体" w:hint="eastAsia"/>
          <w:b/>
          <w:bCs/>
          <w:color w:val="FF0000"/>
          <w:kern w:val="0"/>
          <w:sz w:val="24"/>
        </w:rPr>
        <w:t xml:space="preserve">重要提示：学籍注册后，学生因个人原因不能坚持学习的，视为自动退学且费用不退。 </w:t>
      </w:r>
      <w:r w:rsidR="00C86B2B">
        <w:rPr>
          <w:rFonts w:ascii="宋体" w:hAnsi="宋体" w:cs="宋体" w:hint="eastAsia"/>
          <w:b/>
          <w:bCs/>
          <w:color w:val="FF0000"/>
          <w:kern w:val="0"/>
          <w:sz w:val="24"/>
        </w:rPr>
        <w:t>本中心为福建</w:t>
      </w:r>
      <w:r>
        <w:rPr>
          <w:rFonts w:ascii="宋体" w:hAnsi="宋体" w:cs="宋体" w:hint="eastAsia"/>
          <w:b/>
          <w:bCs/>
          <w:color w:val="FF0000"/>
          <w:kern w:val="0"/>
          <w:sz w:val="24"/>
        </w:rPr>
        <w:t>唯一官方指定教学中心。</w:t>
      </w:r>
    </w:p>
    <w:p w:rsidR="0025685A" w:rsidRDefault="0025685A">
      <w:pPr>
        <w:widowControl/>
        <w:shd w:val="clear" w:color="auto" w:fill="FFFFFF"/>
        <w:wordWrap w:val="0"/>
        <w:jc w:val="left"/>
        <w:rPr>
          <w:rFonts w:ascii="宋体" w:hAnsi="宋体" w:cs="宋体"/>
          <w:color w:val="393B3D"/>
          <w:kern w:val="0"/>
          <w:sz w:val="24"/>
        </w:rPr>
      </w:pPr>
    </w:p>
    <w:p w:rsidR="0025685A" w:rsidRDefault="001B2819">
      <w:pPr>
        <w:widowControl/>
        <w:pBdr>
          <w:top w:val="none" w:sz="0" w:space="0" w:color="666666"/>
          <w:left w:val="none" w:sz="0" w:space="0" w:color="666666"/>
          <w:bottom w:val="none" w:sz="0" w:space="0" w:color="666666"/>
          <w:right w:val="none" w:sz="0" w:space="0" w:color="666666"/>
        </w:pBdr>
        <w:jc w:val="left"/>
        <w:textAlignment w:val="baseline"/>
        <w:rPr>
          <w:rFonts w:ascii="宋体" w:hAnsi="宋体" w:cs="宋体"/>
          <w:color w:val="666666"/>
          <w:sz w:val="24"/>
        </w:rPr>
      </w:pPr>
      <w:r>
        <w:rPr>
          <w:rFonts w:ascii="宋体" w:hAnsi="宋体" w:cs="宋体" w:hint="eastAsia"/>
          <w:b/>
          <w:bCs/>
          <w:color w:val="393B3D"/>
          <w:kern w:val="0"/>
          <w:sz w:val="24"/>
        </w:rPr>
        <w:t>八、报名联系方式</w:t>
      </w:r>
      <w:r>
        <w:rPr>
          <w:rFonts w:ascii="宋体" w:hAnsi="宋体" w:cs="宋体" w:hint="eastAsia"/>
          <w:b/>
          <w:bCs/>
          <w:color w:val="393B3D"/>
          <w:kern w:val="0"/>
          <w:sz w:val="24"/>
        </w:rPr>
        <w:br/>
      </w:r>
      <w:r>
        <w:rPr>
          <w:rFonts w:ascii="宋体" w:hAnsi="宋体" w:cs="宋体" w:hint="eastAsia"/>
          <w:color w:val="666666"/>
          <w:kern w:val="0"/>
          <w:sz w:val="24"/>
        </w:rPr>
        <w:t>教学中心地址：厦门思明区龙虎南里36号厦门大学国家大学科技园5楼509室</w:t>
      </w:r>
    </w:p>
    <w:p w:rsidR="0025685A" w:rsidRDefault="001B2819">
      <w:pPr>
        <w:widowControl/>
        <w:pBdr>
          <w:top w:val="none" w:sz="0" w:space="0" w:color="666666"/>
          <w:left w:val="none" w:sz="0" w:space="0" w:color="666666"/>
          <w:bottom w:val="none" w:sz="0" w:space="0" w:color="666666"/>
          <w:right w:val="none" w:sz="0" w:space="0" w:color="666666"/>
        </w:pBdr>
        <w:jc w:val="left"/>
        <w:textAlignment w:val="baseline"/>
        <w:rPr>
          <w:rFonts w:ascii="宋体" w:hAnsi="宋体" w:cs="宋体"/>
          <w:color w:val="666666"/>
          <w:kern w:val="0"/>
          <w:sz w:val="24"/>
        </w:rPr>
      </w:pPr>
      <w:r>
        <w:rPr>
          <w:rFonts w:ascii="宋体" w:hAnsi="宋体" w:cs="宋体" w:hint="eastAsia"/>
          <w:color w:val="666666"/>
          <w:kern w:val="0"/>
          <w:sz w:val="24"/>
        </w:rPr>
        <w:t>直线：0592-2181400</w:t>
      </w:r>
      <w:r w:rsidR="009D37B1">
        <w:rPr>
          <w:rFonts w:ascii="宋体" w:hAnsi="宋体" w:cs="宋体" w:hint="eastAsia"/>
          <w:color w:val="666666"/>
          <w:kern w:val="0"/>
          <w:sz w:val="24"/>
        </w:rPr>
        <w:t xml:space="preserve">  </w:t>
      </w:r>
      <w:r>
        <w:rPr>
          <w:rFonts w:ascii="宋体" w:hAnsi="宋体" w:cs="宋体" w:hint="eastAsia"/>
          <w:color w:val="666666"/>
          <w:kern w:val="0"/>
          <w:sz w:val="24"/>
        </w:rPr>
        <w:t>24</w:t>
      </w:r>
      <w:r w:rsidR="006E7EBC">
        <w:rPr>
          <w:rFonts w:ascii="宋体" w:hAnsi="宋体" w:cs="宋体" w:hint="eastAsia"/>
          <w:color w:val="666666"/>
          <w:kern w:val="0"/>
          <w:sz w:val="24"/>
        </w:rPr>
        <w:t>小时咨询：</w:t>
      </w:r>
      <w:r w:rsidR="006E7EBC">
        <w:rPr>
          <w:rFonts w:ascii="宋体" w:hAnsi="宋体" w:cs="宋体"/>
          <w:color w:val="666666"/>
          <w:kern w:val="0"/>
          <w:sz w:val="24"/>
        </w:rPr>
        <w:t>18020722815</w:t>
      </w:r>
      <w:r w:rsidR="006E7EBC">
        <w:rPr>
          <w:rFonts w:ascii="宋体" w:hAnsi="宋体" w:cs="宋体" w:hint="eastAsia"/>
          <w:color w:val="666666"/>
          <w:kern w:val="0"/>
          <w:sz w:val="24"/>
        </w:rPr>
        <w:t xml:space="preserve"> 罗</w:t>
      </w:r>
      <w:r>
        <w:rPr>
          <w:rFonts w:ascii="宋体" w:hAnsi="宋体" w:cs="宋体" w:hint="eastAsia"/>
          <w:color w:val="666666"/>
          <w:kern w:val="0"/>
          <w:sz w:val="24"/>
        </w:rPr>
        <w:t>老师</w:t>
      </w:r>
      <w:r w:rsidR="009D37B1">
        <w:rPr>
          <w:rFonts w:ascii="宋体" w:hAnsi="宋体" w:cs="宋体" w:hint="eastAsia"/>
          <w:color w:val="666666"/>
          <w:kern w:val="0"/>
          <w:sz w:val="24"/>
        </w:rPr>
        <w:t xml:space="preserve"> 0592-2184009 杨老师</w:t>
      </w:r>
    </w:p>
    <w:p w:rsidR="0025685A" w:rsidRDefault="001B2819">
      <w:pPr>
        <w:widowControl/>
        <w:pBdr>
          <w:top w:val="none" w:sz="0" w:space="0" w:color="666666"/>
          <w:left w:val="none" w:sz="0" w:space="0" w:color="666666"/>
          <w:bottom w:val="none" w:sz="0" w:space="0" w:color="666666"/>
          <w:right w:val="none" w:sz="0" w:space="0" w:color="666666"/>
        </w:pBdr>
        <w:jc w:val="left"/>
        <w:textAlignment w:val="baseline"/>
        <w:rPr>
          <w:rFonts w:ascii="宋体" w:hAnsi="宋体" w:cs="宋体"/>
          <w:color w:val="666666"/>
          <w:sz w:val="24"/>
        </w:rPr>
      </w:pPr>
      <w:r>
        <w:rPr>
          <w:rFonts w:ascii="宋体" w:hAnsi="宋体" w:cs="宋体" w:hint="eastAsia"/>
          <w:color w:val="666666"/>
          <w:kern w:val="0"/>
          <w:sz w:val="24"/>
        </w:rPr>
        <w:t>微信：</w:t>
      </w:r>
      <w:r w:rsidR="006E7EBC">
        <w:rPr>
          <w:rFonts w:ascii="宋体" w:hAnsi="宋体" w:cs="宋体" w:hint="eastAsia"/>
          <w:color w:val="666666"/>
          <w:kern w:val="0"/>
          <w:sz w:val="24"/>
        </w:rPr>
        <w:t>R18020722815</w:t>
      </w:r>
      <w:r>
        <w:rPr>
          <w:rFonts w:ascii="宋体" w:hAnsi="宋体" w:cs="宋体" w:hint="eastAsia"/>
          <w:color w:val="666666"/>
          <w:kern w:val="0"/>
          <w:sz w:val="24"/>
        </w:rPr>
        <w:t> </w:t>
      </w:r>
    </w:p>
    <w:p w:rsidR="0025685A" w:rsidRDefault="001B2819">
      <w:pPr>
        <w:widowControl/>
        <w:pBdr>
          <w:top w:val="none" w:sz="0" w:space="0" w:color="666666"/>
          <w:left w:val="none" w:sz="0" w:space="0" w:color="666666"/>
          <w:bottom w:val="none" w:sz="0" w:space="0" w:color="666666"/>
          <w:right w:val="none" w:sz="0" w:space="0" w:color="666666"/>
        </w:pBdr>
        <w:jc w:val="left"/>
        <w:textAlignment w:val="baseline"/>
        <w:rPr>
          <w:rFonts w:ascii="Verdana" w:hAnsi="Verdana" w:cs="Verdana"/>
          <w:b/>
          <w:bCs/>
          <w:color w:val="666666"/>
          <w:kern w:val="0"/>
          <w:sz w:val="24"/>
        </w:rPr>
      </w:pPr>
      <w:r>
        <w:rPr>
          <w:rFonts w:ascii="宋体" w:hAnsi="宋体" w:cs="宋体" w:hint="eastAsia"/>
          <w:color w:val="666666"/>
          <w:kern w:val="0"/>
          <w:sz w:val="24"/>
        </w:rPr>
        <w:t>中国政法大学法学院培训中心：010-58908177 刘老师</w:t>
      </w:r>
      <w:r>
        <w:rPr>
          <w:rFonts w:ascii="宋体" w:hAnsi="宋体" w:cs="宋体" w:hint="eastAsia"/>
          <w:color w:val="666666"/>
          <w:kern w:val="0"/>
          <w:sz w:val="24"/>
        </w:rPr>
        <w:br/>
        <w:t xml:space="preserve">  </w:t>
      </w:r>
      <w:r>
        <w:rPr>
          <w:rFonts w:ascii="Verdana" w:hAnsi="Verdana" w:cs="Verdana" w:hint="eastAsia"/>
          <w:b/>
          <w:bCs/>
          <w:color w:val="666666"/>
          <w:kern w:val="0"/>
          <w:sz w:val="24"/>
        </w:rPr>
        <w:t>证书样本</w:t>
      </w:r>
    </w:p>
    <w:p w:rsidR="001B2819" w:rsidRDefault="006E7EBC">
      <w:pPr>
        <w:widowControl/>
        <w:shd w:val="clear" w:color="auto" w:fill="FFFFFF"/>
        <w:wordWrap w:val="0"/>
        <w:jc w:val="left"/>
      </w:pPr>
      <w:r>
        <w:rPr>
          <w:rFonts w:ascii="宋体" w:hAnsi="宋体" w:cs="宋体" w:hint="eastAsia"/>
          <w:noProof/>
          <w:color w:val="393B3D"/>
          <w:kern w:val="0"/>
          <w:sz w:val="24"/>
        </w:rPr>
        <w:lastRenderedPageBreak/>
        <w:drawing>
          <wp:inline distT="0" distB="0" distL="0" distR="0">
            <wp:extent cx="3876675" cy="2819400"/>
            <wp:effectExtent l="19050" t="0" r="9525" b="0"/>
            <wp:docPr id="1" name="图片 3" descr="戴同学硕士学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戴同学硕士学位"/>
                    <pic:cNvPicPr>
                      <a:picLocks noChangeAspect="1" noChangeArrowheads="1"/>
                    </pic:cNvPicPr>
                  </pic:nvPicPr>
                  <pic:blipFill>
                    <a:blip r:embed="rId4" cstate="print"/>
                    <a:srcRect/>
                    <a:stretch>
                      <a:fillRect/>
                    </a:stretch>
                  </pic:blipFill>
                  <pic:spPr bwMode="auto">
                    <a:xfrm>
                      <a:off x="0" y="0"/>
                      <a:ext cx="3876675" cy="2819400"/>
                    </a:xfrm>
                    <a:prstGeom prst="rect">
                      <a:avLst/>
                    </a:prstGeom>
                    <a:noFill/>
                    <a:ln w="9525">
                      <a:noFill/>
                      <a:miter lim="800000"/>
                      <a:headEnd/>
                      <a:tailEnd/>
                    </a:ln>
                    <a:effectLst/>
                  </pic:spPr>
                </pic:pic>
              </a:graphicData>
            </a:graphic>
          </wp:inline>
        </w:drawing>
      </w:r>
      <w:r w:rsidR="001B2819">
        <w:rPr>
          <w:rFonts w:ascii="宋体" w:hAnsi="宋体" w:cs="宋体" w:hint="eastAsia"/>
          <w:color w:val="393B3D"/>
          <w:kern w:val="0"/>
          <w:sz w:val="24"/>
        </w:rPr>
        <w:t xml:space="preserve">     </w:t>
      </w:r>
    </w:p>
    <w:sectPr w:rsidR="001B2819" w:rsidSect="0025685A">
      <w:pgSz w:w="11906" w:h="16838"/>
      <w:pgMar w:top="1440" w:right="1797" w:bottom="1134"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compat>
    <w:spaceForUL/>
    <w:balanceSingleByteDoubleByteWidth/>
    <w:doNotLeaveBackslashAlone/>
    <w:doNotExpandShiftReturn/>
    <w:adjustLineHeightInTable/>
    <w:useFELayout/>
  </w:compat>
  <w:rsids>
    <w:rsidRoot w:val="00384C36"/>
    <w:rsid w:val="00063869"/>
    <w:rsid w:val="001B2819"/>
    <w:rsid w:val="0025685A"/>
    <w:rsid w:val="00384C36"/>
    <w:rsid w:val="003E67B3"/>
    <w:rsid w:val="004271AC"/>
    <w:rsid w:val="004420FF"/>
    <w:rsid w:val="004A62A1"/>
    <w:rsid w:val="00513144"/>
    <w:rsid w:val="006445BE"/>
    <w:rsid w:val="006E7EBC"/>
    <w:rsid w:val="007927F0"/>
    <w:rsid w:val="00913DD3"/>
    <w:rsid w:val="009528DB"/>
    <w:rsid w:val="00955A44"/>
    <w:rsid w:val="009D37B1"/>
    <w:rsid w:val="00C86B2B"/>
    <w:rsid w:val="00D02A18"/>
    <w:rsid w:val="00DE225E"/>
    <w:rsid w:val="00E216C2"/>
    <w:rsid w:val="1A8168D5"/>
    <w:rsid w:val="21674FD4"/>
    <w:rsid w:val="223245AC"/>
    <w:rsid w:val="2344250F"/>
    <w:rsid w:val="244701AD"/>
    <w:rsid w:val="357C4105"/>
    <w:rsid w:val="5514760D"/>
    <w:rsid w:val="61837D57"/>
    <w:rsid w:val="62364F32"/>
    <w:rsid w:val="6D194860"/>
    <w:rsid w:val="70A90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68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685A"/>
    <w:rPr>
      <w:color w:val="000000"/>
      <w:u w:val="none"/>
    </w:rPr>
  </w:style>
  <w:style w:type="character" w:styleId="a4">
    <w:name w:val="FollowedHyperlink"/>
    <w:basedOn w:val="a0"/>
    <w:rsid w:val="0025685A"/>
    <w:rPr>
      <w:color w:val="000000"/>
      <w:u w:val="none"/>
    </w:rPr>
  </w:style>
  <w:style w:type="character" w:styleId="a5">
    <w:name w:val="Strong"/>
    <w:basedOn w:val="a0"/>
    <w:qFormat/>
    <w:rsid w:val="0025685A"/>
    <w:rPr>
      <w:b/>
      <w:bCs/>
    </w:rPr>
  </w:style>
  <w:style w:type="character" w:customStyle="1" w:styleId="Char">
    <w:name w:val="页眉 Char"/>
    <w:basedOn w:val="a0"/>
    <w:link w:val="a6"/>
    <w:rsid w:val="0025685A"/>
    <w:rPr>
      <w:kern w:val="2"/>
      <w:sz w:val="18"/>
      <w:szCs w:val="18"/>
    </w:rPr>
  </w:style>
  <w:style w:type="character" w:customStyle="1" w:styleId="Char0">
    <w:name w:val="页脚 Char"/>
    <w:basedOn w:val="a0"/>
    <w:link w:val="a7"/>
    <w:rsid w:val="0025685A"/>
    <w:rPr>
      <w:kern w:val="2"/>
      <w:sz w:val="18"/>
      <w:szCs w:val="18"/>
    </w:rPr>
  </w:style>
  <w:style w:type="paragraph" w:styleId="a8">
    <w:name w:val="Normal (Web)"/>
    <w:basedOn w:val="a"/>
    <w:rsid w:val="0025685A"/>
    <w:pPr>
      <w:spacing w:before="100" w:beforeAutospacing="1" w:after="100" w:afterAutospacing="1"/>
      <w:jc w:val="left"/>
    </w:pPr>
    <w:rPr>
      <w:kern w:val="0"/>
      <w:sz w:val="24"/>
    </w:rPr>
  </w:style>
  <w:style w:type="paragraph" w:styleId="a6">
    <w:name w:val="header"/>
    <w:basedOn w:val="a"/>
    <w:link w:val="Char"/>
    <w:rsid w:val="0025685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rsid w:val="0025685A"/>
    <w:pPr>
      <w:tabs>
        <w:tab w:val="center" w:pos="4153"/>
        <w:tab w:val="right" w:pos="8306"/>
      </w:tabs>
      <w:snapToGrid w:val="0"/>
      <w:jc w:val="left"/>
    </w:pPr>
    <w:rPr>
      <w:sz w:val="18"/>
      <w:szCs w:val="18"/>
    </w:rPr>
  </w:style>
  <w:style w:type="paragraph" w:styleId="a9">
    <w:name w:val="Balloon Text"/>
    <w:basedOn w:val="a"/>
    <w:link w:val="Char1"/>
    <w:rsid w:val="00E216C2"/>
    <w:rPr>
      <w:sz w:val="18"/>
      <w:szCs w:val="18"/>
    </w:rPr>
  </w:style>
  <w:style w:type="character" w:customStyle="1" w:styleId="Char1">
    <w:name w:val="批注框文本 Char"/>
    <w:basedOn w:val="a0"/>
    <w:link w:val="a9"/>
    <w:rsid w:val="00E216C2"/>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348</Words>
  <Characters>1986</Characters>
  <Application>Microsoft Office Word</Application>
  <DocSecurity>0</DocSecurity>
  <PresentationFormat/>
  <Lines>16</Lines>
  <Paragraphs>4</Paragraphs>
  <Slides>0</Slides>
  <Notes>0</Notes>
  <HiddenSlides>0</HiddenSlides>
  <MMClips>0</MMClip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中国政法大学法学专业研修班招生简章</dc:title>
  <dc:creator>Think</dc:creator>
  <cp:lastModifiedBy>xbany</cp:lastModifiedBy>
  <cp:revision>9</cp:revision>
  <dcterms:created xsi:type="dcterms:W3CDTF">2020-10-27T01:23:00Z</dcterms:created>
  <dcterms:modified xsi:type="dcterms:W3CDTF">2021-06-07T08:31:00Z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